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hitespace-normal"/>
        <w:spacing w:before="280" w:after="280"/>
        <w:rPr>
          <w:lang w:val="fr-FR"/>
        </w:rPr>
      </w:pPr>
      <w:r>
        <w:rPr>
          <w:rStyle w:val="Strong"/>
          <w:lang w:val="fr-FR"/>
        </w:rPr>
        <w:t>A</w:t>
      </w:r>
      <w:r>
        <w:rPr>
          <w:rStyle w:val="Strong"/>
          <w:lang w:val="fr-FR"/>
        </w:rPr>
        <w:t>telier Digital Twin SFGP (août 2025) : Identifier les verrous pour déployer les jumeaux numériques</w:t>
      </w:r>
    </w:p>
    <w:p>
      <w:pPr>
        <w:pStyle w:val="Whitespace-normal"/>
        <w:spacing w:before="280" w:after="280"/>
        <w:rPr>
          <w:lang w:val="fr-FR"/>
        </w:rPr>
      </w:pPr>
      <w:r>
        <w:rPr>
          <w:lang w:val="fr-FR"/>
        </w:rPr>
        <w:t xml:space="preserve">L'atelier organisé par la SFGP visait à recenser les défis du déploiement des </w:t>
      </w:r>
      <w:r>
        <w:rPr>
          <w:rStyle w:val="Strong"/>
          <w:lang w:val="fr-FR"/>
        </w:rPr>
        <w:t>jumeaux numériques</w:t>
      </w:r>
      <w:r>
        <w:rPr>
          <w:lang w:val="fr-FR"/>
        </w:rPr>
        <w:t xml:space="preserve"> dans le génie des procédés, avec une restitution collective des travaux et la préparation d'une journée thématique prévue en 2026.</w:t>
      </w:r>
    </w:p>
    <w:p>
      <w:pPr>
        <w:pStyle w:val="Whitespace-normal"/>
        <w:spacing w:before="280" w:after="280"/>
        <w:rPr>
          <w:lang w:val="fr-FR"/>
        </w:rPr>
      </w:pPr>
      <w:r>
        <w:rPr>
          <w:lang w:val="fr-FR"/>
        </w:rPr>
        <w:t xml:space="preserve">Le </w:t>
      </w:r>
      <w:r>
        <w:rPr>
          <w:rStyle w:val="Strong"/>
          <w:lang w:val="fr-FR"/>
        </w:rPr>
        <w:t>digital twin</w:t>
      </w:r>
      <w:r>
        <w:rPr>
          <w:lang w:val="fr-FR"/>
        </w:rPr>
        <w:t xml:space="preserve"> a été défini comme une représentation numérique dynamique et interconnectée d'un procédé industriel, actualisée à fréquence variable selon les besoins décisionnels. Cette technologie se distingue de la simulation traditionnelle par sa </w:t>
      </w:r>
      <w:r>
        <w:rPr>
          <w:rStyle w:val="Strong"/>
          <w:lang w:val="fr-FR"/>
        </w:rPr>
        <w:t>connexion bidirectionnelle</w:t>
      </w:r>
      <w:r>
        <w:rPr>
          <w:lang w:val="fr-FR"/>
        </w:rPr>
        <w:t xml:space="preserve"> avec le système physique et sa capacité d'apprentissage continu.</w:t>
      </w:r>
    </w:p>
    <w:p>
      <w:pPr>
        <w:pStyle w:val="Whitespace-normal"/>
        <w:spacing w:before="280" w:after="280"/>
        <w:rPr>
          <w:lang w:val="fr-FR"/>
        </w:rPr>
      </w:pPr>
      <w:r>
        <w:rPr>
          <w:lang w:val="fr-FR"/>
        </w:rPr>
        <w:t xml:space="preserve">Les participants ont identifié </w:t>
      </w:r>
      <w:r>
        <w:rPr>
          <w:rStyle w:val="Strong"/>
          <w:lang w:val="fr-FR"/>
        </w:rPr>
        <w:t>plusieurs niveaux de maturité</w:t>
      </w:r>
      <w:r>
        <w:rPr>
          <w:lang w:val="fr-FR"/>
        </w:rPr>
        <w:t xml:space="preserve"> : du monitoring descriptif (visualisation temps réel) aux jumeaux informatifs (analyse historique), puis prédictifs (anticipation), prescriptifs (recommandations d'optimisation) et enfin autonomes (auto-pilotage). Les </w:t>
      </w:r>
      <w:r>
        <w:rPr>
          <w:rStyle w:val="Strong"/>
          <w:lang w:val="fr-FR"/>
        </w:rPr>
        <w:t>bénéfices identifiés</w:t>
      </w:r>
      <w:r>
        <w:rPr>
          <w:lang w:val="fr-FR"/>
        </w:rPr>
        <w:t xml:space="preserve"> incluent l'optimisation des procédés, l'anticipation des défaillances, l'aide au diagnostic opérationnel, la formation immersive des opérateurs et la simulation de scénarios "what-if" sans risque.</w:t>
      </w:r>
    </w:p>
    <w:p>
      <w:pPr>
        <w:pStyle w:val="Whitespace-normal"/>
        <w:spacing w:before="280" w:after="280"/>
        <w:rPr>
          <w:lang w:val="fr-FR"/>
        </w:rPr>
      </w:pPr>
      <w:r>
        <w:rPr>
          <w:rStyle w:val="Strong"/>
          <w:lang w:val="fr-FR"/>
        </w:rPr>
        <w:t>Les verrous majeurs recensés</w:t>
      </w:r>
      <w:r>
        <w:rPr>
          <w:lang w:val="fr-FR"/>
        </w:rPr>
        <w:t xml:space="preserve"> concernent l'intégration avec les systèmes IT/OT existants, la qualité et dispersion des données industrielles, les enjeux de cybersécurité, les résistances organisationnelles au changement, les défis de mise à jour et d'identifiabilité des modèles, ainsi que les coûts d'investissement élevés.</w:t>
      </w:r>
    </w:p>
    <w:p>
      <w:pPr>
        <w:pStyle w:val="Whitespace-normal"/>
        <w:spacing w:before="280" w:after="280"/>
        <w:rPr>
          <w:lang w:val="fr-FR"/>
        </w:rPr>
      </w:pPr>
      <w:r>
        <w:rPr>
          <w:lang w:val="fr-FR"/>
        </w:rPr>
        <w:t xml:space="preserve">Une </w:t>
      </w:r>
      <w:r>
        <w:rPr>
          <w:rStyle w:val="Strong"/>
          <w:lang w:val="fr-FR"/>
        </w:rPr>
        <w:t>journée thématique SFGP en 2026</w:t>
      </w:r>
      <w:r>
        <w:rPr>
          <w:lang w:val="fr-FR"/>
        </w:rPr>
        <w:t xml:space="preserve"> permettra d'approfondir ces enjeux avec l'ensemble de la communauté.</w:t>
      </w:r>
    </w:p>
    <w:p>
      <w:pPr>
        <w:pStyle w:val="Whitespace-normal"/>
        <w:spacing w:before="280" w:after="280"/>
        <w:rPr>
          <w:lang w:val="fr-FR"/>
        </w:rPr>
      </w:pPr>
      <w:r>
        <w:rPr>
          <w:lang w:val="fr-FR"/>
        </w:rPr>
        <w:t xml:space="preserve">Contact : </w:t>
      </w:r>
      <w:hyperlink r:id="rId2">
        <w:r>
          <w:rPr>
            <w:rStyle w:val="Hyperlink"/>
            <w:rFonts w:ascii="Helvetica" w:hAnsi="Helvetica"/>
            <w:color w:val="auto"/>
            <w:sz w:val="24"/>
            <w:lang w:val="fr-FR"/>
          </w:rPr>
          <w:t>benoit.celse@ifpen.fr</w:t>
        </w:r>
      </w:hyperlink>
      <w:hyperlink r:id="rId3">
        <w:r>
          <w:rPr>
            <w:rFonts w:ascii="Helvetica" w:hAnsi="Helvetica"/>
            <w:color w:val="auto"/>
            <w:sz w:val="24"/>
            <w:lang w:val="fr-FR"/>
          </w:rPr>
          <w:t xml:space="preserve"> </w:t>
        </w:r>
      </w:hyperlink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63895"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Whitespace-normal" w:customStyle="1">
    <w:name w:val="whitespace-normal"/>
    <w:basedOn w:val="Normal"/>
    <w:qFormat/>
    <w:rsid w:val="006638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noit.celse@ifpen.fr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LibreOffice/7.6.4.1$MacOSX_X86_64 LibreOffice_project/e19e193f88cd6c0525a17fb7a176ed8e6a3e2aa1</Application>
  <AppVersion>15.0000</AppVersion>
  <Pages>1</Pages>
  <Words>213</Words>
  <Characters>1416</Characters>
  <CharactersWithSpaces>1623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2025-09-11T13:33:00Z</dcterms:created>
  <dc:creator>Adrien VASSAL</dc:creator>
  <dc:description/>
  <dc:language>fr-FR</dc:language>
  <cp:lastModifiedBy/>
  <dcterms:modified xsi:type="dcterms:W3CDTF">2025-09-24T13:21:01Z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